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PROTOCOLO CLÍNICO PARA MANEJO DE PACIENTES COM DOENÇA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PELO CORONAVÍRUS 2019 ( COVID-19)</w:t>
      </w:r>
    </w:p>
    <w:p w:rsidR="00000000" w:rsidDel="00000000" w:rsidP="00000000" w:rsidRDefault="00000000" w:rsidRPr="00000000" w14:paraId="00000005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Elaborado em 09 de março de 2020</w:t>
      </w:r>
    </w:p>
    <w:p w:rsidR="00000000" w:rsidDel="00000000" w:rsidP="00000000" w:rsidRDefault="00000000" w:rsidRPr="00000000" w14:paraId="00000007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Atualizado em 21 de março de 2020</w:t>
      </w:r>
    </w:p>
    <w:p w:rsidR="00000000" w:rsidDel="00000000" w:rsidP="00000000" w:rsidRDefault="00000000" w:rsidRPr="00000000" w14:paraId="00000008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TRIAGEM - DEFINIÇÕES DE CASO OPERACIONAIS: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dia 20 de março de 2020 o Ministrério da Saúde, declarou estado de transmissão comunitária pelo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coronavírus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 todo o Brasil.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CASO SUSPEITO EM INVESTIGAÇÃO: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Presença de febre e sintoma respiratório.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Importante observar outros sinais e sintomas mialgia/artralgia, dor de cabeça, calafrio, manchas vermelhas pelo corpo, gânglios linfáticos aumentados, diarréia, náusea, vômito, desidratação e inapetência.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Febre pode não estar presente em alguns casos como, por exemplo, em pacientes jovens, idosos, imunossuprimidos ou que em algumas situações possam ter utilizado medicamento antitérmico. Nestas situações, a avaliação clínica deve ser levada em consideração e a decisão deve ser registrada na ficha de notificação;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CASO CONFIRMADO: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35"/>
        <w:tblGridChange w:id="0">
          <w:tblGrid>
            <w:gridCol w:w="8735"/>
          </w:tblGrid>
        </w:tblGridChange>
      </w:tblGrid>
      <w:tr>
        <w:trPr>
          <w:trHeight w:val="863" w:hRule="atLeast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LABORATORIAL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Caso com resultado positivo em RT-PCR em tempo real, pelo protocolo Charité.</w:t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3"/>
        <w:tblGridChange w:id="0">
          <w:tblGrid>
            <w:gridCol w:w="8613"/>
          </w:tblGrid>
        </w:tblGridChange>
      </w:tblGrid>
      <w:tr>
        <w:trPr>
          <w:trHeight w:val="5879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rect id="_x0000_s1228" style="position:absolute;margin-left:30.55pt;margin-top:7.2pt;width:357.55pt;height:73.9pt;z-index:251662336;mso-position-horizontal:absolute;mso-position-vertical:absolute;mso-position-horizontal-relative:margin;mso-position-vertical-relative:text;">
                  <v:textbox style="mso-next-textbox:#_x0000_s1228">
                    <w:txbxContent>
                      <w:p w:rsidR="008B0C4B" w:rsidDel="00000000" w:rsidP="00C84B27" w:rsidRDefault="00C84B27" w:rsidRPr="0088442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 xml:space="preserve">Presença de </w:t>
                        </w:r>
                        <w:r w:rsidDel="00000000" w:rsidR="008B0C4B" w:rsidRPr="00884423">
                          <w:rPr>
                            <w:sz w:val="20"/>
                            <w:szCs w:val="20"/>
                          </w:rPr>
                          <w:t xml:space="preserve">febre </w:t>
                        </w:r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>e</w:t>
                        </w:r>
                        <w:r w:rsidDel="00000000" w:rsidR="008B0C4B" w:rsidRPr="00884423">
                          <w:rPr>
                            <w:sz w:val="20"/>
                            <w:szCs w:val="20"/>
                          </w:rPr>
                          <w:t xml:space="preserve"> sintoma</w:t>
                        </w:r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>s</w:t>
                        </w:r>
                        <w:r w:rsidDel="00000000" w:rsidR="008B0C4B" w:rsidRPr="0088442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Del="00000000" w:rsidR="008B0C4B" w:rsidRPr="00884423">
                          <w:rPr>
                            <w:sz w:val="20"/>
                            <w:szCs w:val="20"/>
                          </w:rPr>
                          <w:t>respiratório</w:t>
                        </w:r>
                        <w:proofErr w:type="gramEnd"/>
                        <w:r w:rsidDel="00000000" w:rsidR="008B0C4B" w:rsidRPr="00884423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8B0C4B" w:rsidDel="00000000" w:rsidP="00C84B27" w:rsidRDefault="008B0C4B" w:rsidRPr="0088442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>Importante observar outros sinais e sintomas mialgia/</w:t>
                        </w:r>
                        <w:proofErr w:type="spellStart"/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>artralgia</w:t>
                        </w:r>
                        <w:proofErr w:type="spellEnd"/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 xml:space="preserve">, dor de cabeça, calafrio, manchas </w:t>
                        </w:r>
                        <w:proofErr w:type="gramStart"/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>vermelhas pelo corpo, gânglios</w:t>
                        </w:r>
                        <w:proofErr w:type="gramEnd"/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 xml:space="preserve"> linfáticos aumentados, diarréia, náusea, vômito, desidratação e inapetência.</w:t>
                        </w:r>
                      </w:p>
                    </w:txbxContent>
                  </v:textbox>
                </v:rect>
              </w:pict>
            </w:r>
          </w:p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3591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1F">
            <w:pPr>
              <w:tabs>
                <w:tab w:val="left" w:pos="3591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267" style="position:absolute;margin-left:191.55pt;margin-top:3.45pt;width:.4pt;height:19.95pt;z-index:251701248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</w:p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oval id="_x0000_s1248" style="position:absolute;margin-left:42.7pt;margin-top:3.35pt;width:302.25pt;height:65.75pt;z-index:251682816;mso-position-horizontal:absolute;mso-position-vertical:absolute;mso-position-horizontal-relative:margin;mso-position-vertical-relative:text;">
                  <v:textbox style="mso-next-textbox:#_x0000_s1248">
                    <w:txbxContent>
                      <w:p w:rsidR="008B0C4B" w:rsidDel="00000000" w:rsidP="002A04B0" w:rsidRDefault="008B0C4B" w:rsidRPr="00884423">
                        <w:pPr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884423">
                          <w:rPr>
                            <w:sz w:val="20"/>
                            <w:szCs w:val="20"/>
                          </w:rPr>
                          <w:t>Coletar amostra respiratória para pesquisa de SARS-CoV2 por RT-PCR em tempo real e outros vírus respiratórios.</w:t>
                        </w:r>
                      </w:p>
                    </w:txbxContent>
                  </v:textbox>
                </v:oval>
              </w:pict>
            </w:r>
          </w:p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255" style="position:absolute;margin-left:196.0pt;margin-top:1.25pt;width:0;height:11.3pt;z-index:251689984;mso-position-horizontal:absolute;mso-position-vertical:absolute;mso-position-horizontal-relative:margin;mso-position-vertical-relative:text;" o:connectortype="straight" type="#_x0000_t32"/>
              </w:pict>
            </w:r>
          </w:p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254" style="position:absolute;margin-left:38.9pt;margin-top:2.3pt;width:321.05pt;height:0;z-index:251688960;mso-position-horizontal:absolute;mso-position-vertical:absolute;mso-position-horizontal-relative:margin;mso-position-vertical-relative:text;" o:connectortype="straight" type="#_x0000_t32"/>
              </w:pict>
            </w:r>
            <w:r w:rsidDel="00000000" w:rsidR="00000000" w:rsidRPr="00000000">
              <w:pict>
                <v:shape id="_x0000_s1256" style="position:absolute;margin-left:37.9pt;margin-top:2.8pt;width:0;height:20.5pt;z-index:251691008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  <w:r w:rsidDel="00000000" w:rsidR="00000000" w:rsidRPr="00000000">
              <w:pict>
                <v:shape id="_x0000_s1257" style="position:absolute;margin-left:195.5pt;margin-top:2.8pt;width:0;height:20.5pt;z-index:251692032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  <w:r w:rsidDel="00000000" w:rsidR="00000000" w:rsidRPr="00000000">
              <w:pict>
                <v:shape id="_x0000_s1258" style="position:absolute;margin-left:358.95pt;margin-top:2.8pt;width:0;height:20.5pt;z-index:251693056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</w:p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rect id="_x0000_s1251" style="position:absolute;margin-left:5.3pt;margin-top:7.45pt;width:107.65pt;height:29.05pt;z-index:251685888;mso-position-horizontal:absolute;mso-position-vertical:absolute;mso-position-horizontal-relative:margin;mso-position-vertical-relative:text;">
                  <v:textbox style="mso-next-textbox:#_x0000_s1251">
                    <w:txbxContent>
                      <w:p w:rsidR="008B0C4B" w:rsidDel="00000000" w:rsidP="002A04B0" w:rsidRDefault="008B0C4B" w:rsidRPr="000865ED">
                        <w:pPr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</w:rPr>
                          <w:t>POSITIVO PARA OUTROS VÍRUS RESPIRATÓRIOS</w:t>
                        </w:r>
                      </w:p>
                    </w:txbxContent>
                  </v:textbox>
                </v:rect>
              </w:pict>
            </w:r>
            <w:r w:rsidDel="00000000" w:rsidR="00000000" w:rsidRPr="00000000">
              <w:pict>
                <v:rect id="_x0000_s1252" style="position:absolute;margin-left:168.65pt;margin-top:7.45pt;width:56.2pt;height:25pt;z-index:251686912;mso-position-horizontal:absolute;mso-position-vertical:absolute;mso-position-horizontal-relative:margin;mso-position-vertical-relative:text;">
                  <v:textbox style="mso-next-textbox:#_x0000_s1252">
                    <w:txbxContent>
                      <w:p w:rsidR="008B0C4B" w:rsidDel="00000000" w:rsidP="002A04B0" w:rsidRDefault="008B0C4B" w:rsidRPr="000865E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</w:rPr>
                          <w:t>NEGATIVO</w:t>
                        </w:r>
                      </w:p>
                    </w:txbxContent>
                  </v:textbox>
                </v:rect>
              </w:pict>
            </w:r>
            <w:r w:rsidDel="00000000" w:rsidR="00000000" w:rsidRPr="00000000">
              <w:pict>
                <v:rect id="_x0000_s1253" style="position:absolute;margin-left:319.2999212598425pt;margin-top:7.45pt;width:88.5pt;height:34pt;z-index:251687936;mso-position-horizontal:absolute;mso-position-vertical:absolute;mso-position-horizontal-relative:margin;mso-position-vertical-relative:text;">
                  <v:textbox style="mso-next-textbox:#_x0000_s1253">
                    <w:txbxContent>
                      <w:p w:rsidR="00C84B27" w:rsidDel="00000000" w:rsidP="00C84B27" w:rsidRDefault="008B0C4B" w:rsidRPr="00000000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2A04B0">
                          <w:rPr>
                            <w:sz w:val="16"/>
                            <w:szCs w:val="16"/>
                          </w:rPr>
                          <w:t>POSITIVO</w:t>
                        </w:r>
                      </w:p>
                      <w:p w:rsidR="008B0C4B" w:rsidDel="00000000" w:rsidP="00C84B27" w:rsidRDefault="008B0C4B" w:rsidRPr="002A04B0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2A04B0">
                          <w:rPr>
                            <w:sz w:val="16"/>
                            <w:szCs w:val="16"/>
                          </w:rPr>
                          <w:t>PARA SARS-CoV2</w:t>
                        </w:r>
                      </w:p>
                    </w:txbxContent>
                  </v:textbox>
                </v:rect>
              </w:pict>
            </w:r>
          </w:p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260" style="position:absolute;margin-left:38.45pt;margin-top:7.65pt;width:.05pt;height:8.7pt;z-index:251695104;mso-position-horizontal:absolute;mso-position-vertical:absolute;mso-position-horizontal-relative:margin;mso-position-vertical-relative:text;" o:connectortype="straight" type="#_x0000_t32"/>
              </w:pict>
            </w:r>
            <w:r w:rsidDel="00000000" w:rsidR="00000000" w:rsidRPr="00000000">
              <w:pict>
                <v:shape id="_x0000_s1261" style="position:absolute;margin-left:200.85pt;margin-top:3.6pt;width:.05pt;height:12.75pt;z-index:251696128;mso-position-horizontal:absolute;mso-position-vertical:absolute;mso-position-horizontal-relative:margin;mso-position-vertical-relative:text;" o:connectortype="straight" type="#_x0000_t32"/>
              </w:pict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259" style="position:absolute;margin-left:38.95pt;margin-top:6.05pt;width:162.45pt;height:0;z-index:251694080;mso-position-horizontal:absolute;mso-position-vertical:absolute;mso-position-horizontal-relative:margin;mso-position-vertical-relative:text;" o:connectortype="straight" type="#_x0000_t32"/>
              </w:pict>
            </w:r>
            <w:r w:rsidDel="00000000" w:rsidR="00000000" w:rsidRPr="00000000">
              <w:pict>
                <v:shape id="_x0000_s1262" style="position:absolute;margin-left:362.05pt;margin-top:2.85pt;width:0;height:19pt;z-index:251697152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  <w:r w:rsidDel="00000000" w:rsidR="00000000" w:rsidRPr="00000000">
              <w:pict>
                <v:shape id="_x0000_s1263" style="position:absolute;margin-left:118.75pt;margin-top:6.55pt;width:.5pt;height:19.5pt;z-index:251698176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rect id="_x0000_s1264" style="position:absolute;margin-left:59.45pt;margin-top:20.049921259842517pt;width:93.5pt;height:19.9pt;z-index:251699200;mso-position-horizontal:absolute;mso-position-vertical:absolute;mso-position-horizontal-relative:margin;mso-position-vertical-relative:text;">
                  <v:textbox style="mso-next-textbox:#_x0000_s1264">
                    <w:txbxContent>
                      <w:p w:rsidR="008B0C4B" w:rsidDel="00000000" w:rsidP="002A04B0" w:rsidRDefault="008B0C4B" w:rsidRPr="002A04B0">
                        <w:pPr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2A04B0">
                          <w:rPr>
                            <w:sz w:val="16"/>
                            <w:szCs w:val="16"/>
                          </w:rPr>
                          <w:t>DESCARTADO COVID-19</w:t>
                        </w:r>
                      </w:p>
                    </w:txbxContent>
                  </v:textbox>
                </v:rect>
              </w:pict>
            </w:r>
            <w:r w:rsidDel="00000000" w:rsidR="00000000" w:rsidRPr="00000000">
              <w:pict>
                <v:rect id="_x0000_s1265" style="position:absolute;margin-left:312.6pt;margin-top:15.75pt;width:102.1pt;height:23.95pt;z-index:251700224;mso-position-horizontal:absolute;mso-position-vertical:absolute;mso-position-horizontal-relative:margin;mso-position-vertical-relative:text;">
                  <v:textbox style="mso-next-textbox:#_x0000_s1265">
                    <w:txbxContent>
                      <w:p w:rsidR="008B0C4B" w:rsidDel="00000000" w:rsidP="002A04B0" w:rsidRDefault="008B0C4B" w:rsidRPr="002A04B0">
                        <w:pPr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2A04B0">
                          <w:rPr>
                            <w:sz w:val="16"/>
                            <w:szCs w:val="16"/>
                          </w:rPr>
                          <w:t>CONFIRMADO COVID-19</w:t>
                        </w:r>
                      </w:p>
                    </w:txbxContent>
                  </v:textbox>
                </v:rect>
              </w:pict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7" w:hRule="atLeast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Figura 1. Definições de casos operacionais para COVID-19.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2. MANIFESTAÇÕES CLÍNICAS  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O espectro clínico da infecção por Coronavírus é muito amplo, podendo variar de um simples resfriado até uma pneumonia severa. Segundo os dados mais atuais os sinais e sintomas clínicos são principalmente respiratórios : </w:t>
      </w:r>
    </w:p>
    <w:tbl>
      <w:tblPr>
        <w:tblStyle w:val="Table4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Febre (83%);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Tosse (82%);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Falta de ar (31%);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 muscular (11%);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Confusão (9%);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 de cabeça (8%);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 de garganta (5%);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Rinorréia (4%);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 no peito (2%);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Diarréia (2%) e náusea e vômitos (1%).  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acordo com exames de imagem e laboratorial: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(75%) pneumonia bilateral;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(14%) manchas múltiplas e opacidade em vidro fosco;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(1%) pneumotórax;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(63%) linfopenia.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 xml:space="preserve">Avaliação recente de 99 pacientes com pneumonia confirmado por laboratório com COVID -19 internados no hospital de Wulnan mostrou que a média de idade era de 55 anos e a maioria dos pacientes era do sexo masculino (68%).  </w:t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3. CLASSIFICAÇÃO CLÍNICA DOS CASOS  </w:t>
      </w:r>
    </w:p>
    <w:p w:rsidR="00000000" w:rsidDel="00000000" w:rsidP="00000000" w:rsidRDefault="00000000" w:rsidRPr="00000000" w14:paraId="0000004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As infecções tem um amplo espectro de sintomas. A classificação de casos sintomáticos adotada pela Organização de Saúde (OMS) é: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Doença não complicada – quadro compatível com infecção de vias aéreas superiores, em que o paciente pode apresentar sinais e sintomas inespecíficos como: febre, tosse, dor na garganta, congestão nasal, cefaléia, mal-estar e m</w:t>
      </w:r>
      <w:r w:rsidDel="00000000" w:rsidR="00000000" w:rsidRPr="00000000">
        <w:rPr>
          <w:rtl w:val="0"/>
        </w:rPr>
        <w:t xml:space="preserve">ialgia. Imunossuprimidos, idosos e crianças podem apresentar quadro atípico;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Pneumonia sem complicações – infecção do trato respiratório inferior sem sinais de gravidade; 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Pneumonia grave – infecção do trato respiratório inferior com algum dos seguintes sinais de gravidade: a frequência respiratória &gt; 30 incursões por minuto; o dispneia; o SpO2 &lt; 90% em ar ambiente; o cianose;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Síndrome da angústia respiratória aguda (SARA) – surgimento ou agravamento dos sintomas respiratórios, até 1 semana do início da doença. Pode ainda apresentar:  Alterações radiológicas – opacidades bilaterais, atelectasia lobar/pulmonar ou nódulos;  edema pulmonar não explicado por insuficiência cardíaca ou hiper- hidratação;  relação PaO2/FiO2 ≤ 300 mmHg – leve (entre 200-300 mmHg), moderada (entre 100-200 mmHg) e grave (abaixo de 100 mmHg).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Sepse – síndrome da resposta inflamatória sistêmica com disfunção orgânica na presença de infecção presumida ou confirmada. São sinais frequentes de disfunção orgânica: alteração do nível de consciência, oligúria, taqui e/ou dispneia, baixa saturação de oxigênio, taquicardia, pulso débil, extremidades frias, coagulopatia, trombocitopenia, acidose, elevação do lactato sérico ou da bilirrubina; 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Choque séptico – sepse acompanhada de hipotensão [pressão arterial média (PAM) &lt; 65 mmHg] a despeito de ressuscitação volêmica adequada.  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  <w:t xml:space="preserve">4. CRITÉRIOS DE INTERNAÇÃO  </w:t>
      </w:r>
    </w:p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tl w:val="0"/>
        </w:rPr>
        <w:t xml:space="preserve">Exceto os casos de doença não complicada, todos os demais devem ser internados.  Para os pacientes  imunocomprometidos, recomenda-se hospitalização em qualquer circunstância.            Pessoas em acompanhamento ambulatorial devem ser orientadas a: </w:t>
      </w:r>
    </w:p>
    <w:p w:rsidR="00000000" w:rsidDel="00000000" w:rsidP="00000000" w:rsidRDefault="00000000" w:rsidRPr="00000000" w14:paraId="00000059">
      <w:pPr>
        <w:spacing w:after="0" w:lineRule="auto"/>
        <w:rPr/>
      </w:pPr>
      <w:r w:rsidDel="00000000" w:rsidR="00000000" w:rsidRPr="00000000">
        <w:rPr>
          <w:rtl w:val="0"/>
        </w:rPr>
        <w:t xml:space="preserve">• permanecerem em  seu domicílio enquanto perdurarem os sintomas; </w:t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rtl w:val="0"/>
        </w:rPr>
        <w:t xml:space="preserve">• higienizar as mãos frequentemente com água e sabão (na presença de sujidade visível) ou álcool em gel; </w:t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  <w:t xml:space="preserve">• cobrir boca e nariz ao tossir ou espirrar com a parte interna do cotovelo flexionado ou com um lenço de papel, descartando-o em lixo imediatamente após e higienizando as mãos em seguida; 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  <w:t xml:space="preserve">• limpar e desinfetar objetos e superfícies tocados com frequência; </w:t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  <w:t xml:space="preserve">• evitar contato próximo (menos de um metro) com outras pessoas que apresentam sintomas respiratórios; 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  <w:t xml:space="preserve">• não compartilhar objetos que entrem em contato com vias aéreas (talheres, por exemplo); </w:t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  <w:t xml:space="preserve">• retornar ao serviço de saúde se houver piora do quadro clínico.  </w:t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tl w:val="0"/>
        </w:rPr>
        <w:t xml:space="preserve">Os casos de sepse, choque séptico e síndrome da angústia respiratória aguda devem ser manejados em unidades de terapia intensiva.  </w:t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  <w:t xml:space="preserve">5. MEDIDAS DE PREVENÇÃO E CONTROLE NO AMBIENTE HOSPITALAR:</w:t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Conforme as informações atuais disponíveis, sugere-se que a via de transmissão pessoa a pessoa do novo coronavírus (SARS-CoV-2) é por gotículas respiratórias ou contato. Qualquer pessoa que tenha contato próximo (dentro de 1 metro) com alguém que tenha sintomas respiratórios (por exemplo, espirros, tosse, etc.) está em risco de ser exposta a gotículas respiratórias potencialmente infecciosas.</w:t>
      </w:r>
    </w:p>
    <w:p w:rsidR="00000000" w:rsidDel="00000000" w:rsidP="00000000" w:rsidRDefault="00000000" w:rsidRPr="00000000" w14:paraId="0000006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As medidas de proteção e controle são fundamentais para diminuir a chance de disseminação da doença para outras pessoas, incluindo para os profissionais da saúde e devem ser instituídas imediatamente frente a um caso suspeito ou confirmado da doença. </w:t>
      </w:r>
    </w:p>
    <w:p w:rsidR="00000000" w:rsidDel="00000000" w:rsidP="00000000" w:rsidRDefault="00000000" w:rsidRPr="00000000" w14:paraId="0000006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Precauções padrão como higienização das mãos e uso adequado de equipamentos de proteção individual (EPI) que evitem contato com sangue, secreções e lesões cutâneas sempre devem ser adotadas, bem como medidas que diminuam o risco de acidentes com materiais perfuro-cortantes. As medidas devem ser instituídas antes da chegada do paciente ao serviço de saúde, na chegada, triagem, espera do atendimento e durante toda a assistência prestada.</w:t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  <w:t xml:space="preserve">5.1. Na Classificação de Risco e Triagem ao detectar caso suspeito ou confirmado: </w:t>
      </w:r>
    </w:p>
    <w:p w:rsidR="00000000" w:rsidDel="00000000" w:rsidP="00000000" w:rsidRDefault="00000000" w:rsidRPr="00000000" w14:paraId="0000006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  <w:t xml:space="preserve">Identifique os pacientes em risco de ter infecção pelo novo coronavírus (SARS-CoV-2).</w:t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  <w:t xml:space="preserve">Oriente adequadamente a lavagem das mãos e realização da higiene respiratória e etiqueta da tosse, se a paciente estiver em ar ambiente usar máscara cirúrgica,  desde a entrada no hospital e enquanto estiver recebendo atendimento, durante toda sua permanência no serviço de saúde. </w:t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  <w:t xml:space="preserve">Priorize o atendimento destas pacientes na triagem.</w:t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  <w:t xml:space="preserve">Isole o caso suspeito ou confirmado em uma sala de apropriada conforme a indicação clínica. (conforme Figura 1)</w:t>
      </w:r>
    </w:p>
    <w:p w:rsidR="00000000" w:rsidDel="00000000" w:rsidP="00000000" w:rsidRDefault="00000000" w:rsidRPr="00000000" w14:paraId="0000006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  <w:t xml:space="preserve">Figura 1: Fluxo das pacientes em risco de COVID19 na MESM.</w:t>
      </w:r>
    </w:p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rect id="_x0000_s1270" style="position:absolute;margin-left:19.7pt;margin-top:10.25pt;width:349.8pt;height:109.4pt;z-index:251702272;mso-position-horizontal:absolute;mso-position-vertical:absolute;mso-position-horizontal-relative:margin;mso-position-vertical-relative:text;">
                  <v:textbox>
                    <w:txbxContent>
                      <w:p w:rsidR="00B275FB" w:rsidDel="00000000" w:rsidP="007115D1" w:rsidRDefault="00B275FB" w:rsidRPr="007115D1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Del="00000000" w:rsidR="00000000" w:rsidRPr="007115D1">
                          <w:rPr>
                            <w:sz w:val="24"/>
                            <w:szCs w:val="24"/>
                            <w:u w:val="single"/>
                          </w:rPr>
                          <w:t>Classificação de Risco</w:t>
                        </w:r>
                        <w:r w:rsidDel="00000000" w:rsidR="007115D1" w:rsidRPr="007115D1">
                          <w:rPr>
                            <w:sz w:val="24"/>
                            <w:szCs w:val="24"/>
                            <w:u w:val="single"/>
                          </w:rPr>
                          <w:t xml:space="preserve"> e triagem:</w:t>
                        </w:r>
                      </w:p>
                      <w:p w:rsidR="007115D1" w:rsidDel="00000000" w:rsidP="007115D1" w:rsidRDefault="007115D1" w:rsidRPr="00000000">
                        <w:pPr>
                          <w:spacing w:after="0" w:line="240" w:lineRule="auto"/>
                          <w:jc w:val="center"/>
                        </w:pPr>
                        <w:r w:rsidDel="00000000" w:rsidR="00000000" w:rsidRPr="00000000">
                          <w:t xml:space="preserve">Identifique a paciente </w:t>
                        </w:r>
                        <w:r w:rsidDel="00000000" w:rsidR="00000000" w:rsidRPr="007115D1">
                          <w:t>em risco de ter infecção pel</w:t>
                        </w:r>
                        <w:r w:rsidDel="00000000" w:rsidR="00000000" w:rsidRPr="00000000">
                          <w:t xml:space="preserve">o novo </w:t>
                        </w:r>
                        <w:proofErr w:type="spellStart"/>
                        <w:r w:rsidDel="00000000" w:rsidR="00000000" w:rsidRPr="00000000">
                          <w:t>coronavírus</w:t>
                        </w:r>
                        <w:proofErr w:type="spellEnd"/>
                        <w:r w:rsidDel="00000000" w:rsidR="00000000" w:rsidRPr="00000000">
                          <w:t xml:space="preserve"> (SARS-CoV-2);</w:t>
                        </w:r>
                      </w:p>
                      <w:p w:rsidR="007115D1" w:rsidDel="00000000" w:rsidP="007115D1" w:rsidRDefault="007115D1" w:rsidRPr="00000000">
                        <w:pPr>
                          <w:spacing w:after="0" w:line="240" w:lineRule="auto"/>
                          <w:jc w:val="center"/>
                        </w:pPr>
                        <w:r w:rsidDel="00000000" w:rsidR="00000000" w:rsidRPr="00000000">
                          <w:t>Coloque máscara cirúrgica na paciente e oriente sobre a lavagem das mãos e etiqueta da tosse e higiene respiratória.</w:t>
                        </w:r>
                      </w:p>
                      <w:p w:rsidR="007115D1" w:rsidDel="00000000" w:rsidP="007115D1" w:rsidRDefault="007115D1" w:rsidRPr="00000000">
                        <w:pPr>
                          <w:spacing w:after="0" w:line="240" w:lineRule="auto"/>
                          <w:jc w:val="center"/>
                        </w:pPr>
                      </w:p>
                      <w:p w:rsidR="00B275FB" w:rsidDel="00000000" w:rsidP="007115D1" w:rsidRDefault="007115D1" w:rsidRPr="00000000">
                        <w:pPr>
                          <w:spacing w:line="240" w:lineRule="auto"/>
                          <w:jc w:val="center"/>
                        </w:pPr>
                        <w:r w:rsidDel="00000000" w:rsidR="00000000" w:rsidRPr="00000000">
                          <w:t>PRIORIZE SEU ATENDIMENTO NA TRIAGEM</w:t>
                        </w:r>
                      </w:p>
                    </w:txbxContent>
                  </v:textbox>
                </v:rect>
              </w:pic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271" style="position:absolute;margin-left:184.95pt;margin-top:-0.65pt;width:0;height:21.15pt;z-index:251703296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272" style="position:absolute;margin-left:35.84992125984252pt;margin-top:-0.1pt;width:326.7pt;height:0;z-index:251704320;mso-position-horizontal:absolute;mso-position-vertical:absolute;mso-position-horizontal-relative:margin;mso-position-vertical-relative:text;" o:connectortype="straight" type="#_x0000_t32"/>
              </w:pict>
            </w:r>
            <w:r w:rsidDel="00000000" w:rsidR="00000000" w:rsidRPr="00000000">
              <w:pict>
                <v:shape id="_x0000_s1281" style="position:absolute;margin-left:34.84992125984252pt;margin-top:3.05pt;width:0;height:14.3pt;z-index:251709440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  <w:r w:rsidDel="00000000" w:rsidR="00000000" w:rsidRPr="00000000">
              <w:pict>
                <v:shape id="_x0000_s1282" style="position:absolute;margin-left:142.2pt;margin-top:3.05pt;width:0;height:14.3pt;z-index:251710464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  <w:r w:rsidDel="00000000" w:rsidR="00000000" w:rsidRPr="00000000">
              <w:pict>
                <v:shape id="_x0000_s1283" style="position:absolute;margin-left:259.7pt;margin-top:3.05pt;width:0;height:14.3pt;z-index:251711488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  <w:r w:rsidDel="00000000" w:rsidR="00000000" w:rsidRPr="00000000">
              <w:pict>
                <v:shape id="_x0000_s1284" style="position:absolute;margin-left:361.55pt;margin-top:0.4pt;width:0;height:14.3pt;z-index:251712512;mso-position-horizontal:absolute;mso-position-vertical:absolute;mso-position-horizontal-relative:margin;mso-position-vertical-relative:text;" o:connectortype="straight" type="#_x0000_t32">
                  <v:stroke endarrow="block"/>
                </v:shape>
              </w:pic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rect id="_x0000_s1277" style="position:absolute;margin-left:12.25pt;margin-top:11.5pt;width:62.5pt;height:41.45pt;z-index:251705344;mso-position-horizontal:absolute;mso-position-vertical:absolute;mso-position-horizontal-relative:margin;mso-position-vertical-relative:text;">
                  <v:textbox>
                    <w:txbxContent>
                      <w:p w:rsidR="007115D1" w:rsidDel="00000000" w:rsidP="00000000" w:rsidRDefault="007115D1" w:rsidRPr="00000000">
                        <w:r w:rsidDel="00000000" w:rsidR="00000000" w:rsidRPr="00000000">
                          <w:t>Sala de parto nº 2</w:t>
                        </w:r>
                      </w:p>
                    </w:txbxContent>
                  </v:textbox>
                </v:rect>
              </w:pict>
            </w:r>
            <w:r w:rsidDel="00000000" w:rsidR="00000000" w:rsidRPr="00000000">
              <w:pict>
                <v:rect id="_x0000_s1278" style="position:absolute;margin-left:113.45pt;margin-top:11.5pt;width:1in;height:56.4pt;z-index:251706368;mso-position-horizontal:absolute;mso-position-vertical:absolute;mso-position-horizontal-relative:margin;mso-position-vertical-relative:text;">
                  <v:textbox>
                    <w:txbxContent>
                      <w:p w:rsidR="007115D1" w:rsidDel="00000000" w:rsidP="00000000" w:rsidRDefault="0078514E" w:rsidRPr="00000000">
                        <w:r w:rsidDel="00000000" w:rsidR="00000000" w:rsidRPr="00000000">
                          <w:t>UTI materna sala de isolamento</w:t>
                        </w:r>
                      </w:p>
                    </w:txbxContent>
                  </v:textbox>
                </v:rect>
              </w:pict>
            </w:r>
            <w:r w:rsidDel="00000000" w:rsidR="00000000" w:rsidRPr="00000000">
              <w:pict>
                <v:rect id="_x0000_s1279" style="position:absolute;margin-left:230.7pt;margin-top:11.5pt;width:67.5pt;height:43.45pt;z-index:251707392;mso-position-horizontal:absolute;mso-position-vertical:absolute;mso-position-horizontal-relative:margin;mso-position-vertical-relative:text;">
                  <v:textbox>
                    <w:txbxContent>
                      <w:p w:rsidR="0078514E" w:rsidDel="00000000" w:rsidP="0078514E" w:rsidRDefault="0078514E" w:rsidRPr="00000000">
                        <w:r w:rsidDel="00000000" w:rsidR="00000000" w:rsidRPr="00000000">
                          <w:t xml:space="preserve">Enfermaria nº 1 ou </w:t>
                        </w:r>
                        <w:proofErr w:type="gramStart"/>
                        <w:r w:rsidDel="00000000" w:rsidR="00000000" w:rsidRPr="00000000">
                          <w:t>8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Del="00000000" w:rsidR="00000000" w:rsidRPr="00000000">
              <w:pict>
                <v:rect id="_x0000_s1280" style="position:absolute;margin-left:336.95pt;margin-top:11.5pt;width:65.25pt;height:43.45pt;z-index:251708416;mso-position-horizontal:absolute;mso-position-vertical:absolute;mso-position-horizontal-relative:margin;mso-position-vertical-relative:text;">
                  <v:textbox>
                    <w:txbxContent>
                      <w:p w:rsidR="0078514E" w:rsidDel="00000000" w:rsidP="0078514E" w:rsidRDefault="0078514E" w:rsidRPr="00000000">
                        <w:r w:rsidDel="00000000" w:rsidR="00000000" w:rsidRPr="00000000">
                          <w:t>Centro Cirúrgico</w:t>
                        </w:r>
                      </w:p>
                    </w:txbxContent>
                  </v:textbox>
                </v:rect>
              </w:pic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Obs.: Antes de conduzir a paciente aos quartos de isolamento, comunique previamente aos respectivos setores e atenção para que todos os profissionais envolvidos na locomoção  da paciente estejam devidamente paramentado.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rect id="_x0000_s1285" style="position:absolute;margin-left:8.85pt;margin-top:3.2pt;width:389.2pt;height:256.75pt;z-index:251713536;mso-position-horizontal:absolute;mso-position-vertical:absolute;mso-position-horizontal-relative:margin;mso-position-vertical-relative:text;">
                  <v:textbox>
                    <w:txbxContent>
                      <w:p w:rsidR="004356C5" w:rsidDel="00000000" w:rsidP="004356C5" w:rsidRDefault="004356C5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PROFISSIONAIS DE SAÚDE:</w:t>
                        </w:r>
                      </w:p>
                      <w:p w:rsidR="00BD047C" w:rsidDel="00000000" w:rsidP="004356C5" w:rsidRDefault="00BD047C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- higiene das mãos com água e sabonete líquido OU</w:t>
                        </w:r>
                        <w:r w:rsidDel="00000000" w:rsidR="004356C5" w:rsidRPr="00000000">
                          <w:t xml:space="preserve"> </w:t>
                        </w:r>
                        <w:r w:rsidDel="00000000" w:rsidR="00000000" w:rsidRPr="00000000">
                          <w:t>preparação alcoólica a 70%;</w:t>
                        </w:r>
                      </w:p>
                      <w:p w:rsidR="00BD047C" w:rsidDel="00000000" w:rsidP="004356C5" w:rsidRDefault="00BD047C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- óculos de proteção ou protetor facial;</w:t>
                        </w:r>
                      </w:p>
                      <w:p w:rsidR="00BD047C" w:rsidDel="00000000" w:rsidP="004356C5" w:rsidRDefault="00BD047C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- máscara cirúrgica;</w:t>
                        </w:r>
                      </w:p>
                      <w:p w:rsidR="00BD047C" w:rsidDel="00000000" w:rsidP="004356C5" w:rsidRDefault="00BD047C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- avental;</w:t>
                        </w:r>
                      </w:p>
                      <w:p w:rsidR="00BD047C" w:rsidDel="00000000" w:rsidP="004356C5" w:rsidRDefault="00BD047C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- luvas de procedimento</w:t>
                        </w:r>
                      </w:p>
                      <w:p w:rsidR="00BD047C" w:rsidDel="00000000" w:rsidP="004356C5" w:rsidRDefault="00BD047C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- gorro (para procedimentos que geram aerossóis)</w:t>
                        </w:r>
                      </w:p>
                      <w:p w:rsidR="00BD047C" w:rsidDel="00000000" w:rsidP="004356C5" w:rsidRDefault="00BD047C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Observação: os profissionais de saúde deverão utilizar máscaras</w:t>
                        </w:r>
                        <w:r w:rsidDel="00000000" w:rsidR="004356C5" w:rsidRPr="00000000">
                          <w:t xml:space="preserve"> </w:t>
                        </w:r>
                        <w:r w:rsidDel="00000000" w:rsidR="00000000" w:rsidRPr="00000000">
                          <w:t>N95</w:t>
                        </w:r>
                        <w:r w:rsidDel="00000000" w:rsidR="004356C5" w:rsidRPr="00000000">
                          <w:t>/</w:t>
                        </w:r>
                        <w:r w:rsidDel="00000000" w:rsidR="00000000" w:rsidRPr="00000000">
                          <w:t>FFP2, ou equivalente, ao realizar procedimentos geradores</w:t>
                        </w:r>
                        <w:r w:rsidDel="00000000" w:rsidR="004356C5" w:rsidRPr="00000000">
                          <w:t xml:space="preserve"> </w:t>
                        </w:r>
                        <w:r w:rsidDel="00000000" w:rsidR="00000000" w:rsidRPr="00000000">
                          <w:t>de aerossóis como</w:t>
                        </w:r>
                        <w:proofErr w:type="gramStart"/>
                        <w:r w:rsidDel="00000000" w:rsidR="00000000" w:rsidRPr="00000000">
                          <w:t xml:space="preserve"> por exemplo</w:t>
                        </w:r>
                        <w:proofErr w:type="gramEnd"/>
                        <w:r w:rsidDel="00000000" w:rsidR="00000000" w:rsidRPr="00000000">
                          <w:t>, intubação ou aspiração traqueal,</w:t>
                        </w:r>
                        <w:r w:rsidDel="00000000" w:rsidR="004356C5" w:rsidRPr="00000000">
                          <w:t xml:space="preserve"> </w:t>
                        </w:r>
                        <w:r w:rsidDel="00000000" w:rsidR="00000000" w:rsidRPr="00000000">
                          <w:t>ventilação mecânica invasiva e não invasiva, ressuscitação</w:t>
                        </w:r>
                        <w:r w:rsidDel="00000000" w:rsidR="004356C5" w:rsidRPr="00000000">
                          <w:t xml:space="preserve"> </w:t>
                        </w:r>
                        <w:r w:rsidDel="00000000" w:rsidR="00000000" w:rsidRPr="00000000">
                          <w:t>cardiopulmonar, ventilação manual antes da intubação,</w:t>
                        </w:r>
                        <w:r w:rsidDel="00000000" w:rsidR="004356C5" w:rsidRPr="00000000">
                          <w:t xml:space="preserve"> </w:t>
                        </w:r>
                        <w:r w:rsidDel="00000000" w:rsidR="00000000" w:rsidRPr="00000000">
                          <w:t>coletas de</w:t>
                        </w:r>
                      </w:p>
                      <w:p w:rsidR="00BD047C" w:rsidDel="00000000" w:rsidP="004356C5" w:rsidRDefault="00BD047C" w:rsidRPr="00000000">
                        <w:pPr>
                          <w:spacing w:after="0" w:line="240" w:lineRule="auto"/>
                          <w:jc w:val="both"/>
                        </w:pPr>
                        <w:proofErr w:type="gramStart"/>
                        <w:r w:rsidDel="00000000" w:rsidR="00000000" w:rsidRPr="00000000">
                          <w:t>amostras</w:t>
                        </w:r>
                        <w:proofErr w:type="gramEnd"/>
                        <w:r w:rsidDel="00000000" w:rsidR="00000000" w:rsidRPr="00000000">
                          <w:t xml:space="preserve"> </w:t>
                        </w:r>
                        <w:proofErr w:type="spellStart"/>
                        <w:r w:rsidDel="00000000" w:rsidR="00000000" w:rsidRPr="00000000">
                          <w:t>nasotraqueais</w:t>
                        </w:r>
                        <w:proofErr w:type="spellEnd"/>
                        <w:r w:rsidDel="00000000" w:rsidR="004356C5" w:rsidRPr="00000000">
                          <w:t>.</w:t>
                        </w:r>
                      </w:p>
                      <w:p w:rsidR="004356C5" w:rsidDel="00000000" w:rsidP="004356C5" w:rsidRDefault="004356C5" w:rsidRPr="00000000">
                        <w:pPr>
                          <w:spacing w:after="0" w:line="240" w:lineRule="auto"/>
                          <w:jc w:val="both"/>
                        </w:pPr>
                      </w:p>
                      <w:p w:rsidR="004356C5" w:rsidDel="00000000" w:rsidP="004356C5" w:rsidRDefault="004356C5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PROFISSIONAIS DE APOIO, caso participem da Assistência direta ao caso suspeito ou confirmado:</w:t>
                        </w:r>
                      </w:p>
                      <w:p w:rsidR="004356C5" w:rsidDel="00000000" w:rsidP="004356C5" w:rsidRDefault="004356C5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- higiene das mãos com água e sabonete líquido OU preparação alcoólica a 70%;</w:t>
                        </w:r>
                      </w:p>
                      <w:p w:rsidR="004356C5" w:rsidDel="00000000" w:rsidP="004356C5" w:rsidRDefault="004356C5" w:rsidRPr="00000000">
                        <w:pPr>
                          <w:spacing w:after="0" w:line="240" w:lineRule="auto"/>
                          <w:jc w:val="both"/>
                        </w:pPr>
                        <w:r w:rsidDel="00000000" w:rsidR="00000000" w:rsidRPr="00000000">
                          <w:t>- óculos de proteção ou protetor facial; - máscara cirúrgica; - avental; - luvas de procedimento.</w:t>
                        </w:r>
                        <w:r w:rsidDel="00000000" w:rsidR="00000000" w:rsidRPr="00000000">
                          <w:cr/>
                        </w:r>
                      </w:p>
                    </w:txbxContent>
                  </v:textbox>
                </v:rect>
              </w:pic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/>
      </w:pPr>
      <w:r w:rsidDel="00000000" w:rsidR="00000000" w:rsidRPr="00000000">
        <w:rPr>
          <w:rtl w:val="0"/>
        </w:rPr>
        <w:t xml:space="preserve">5.2. UTIs e quartos de isolamento:</w:t>
      </w:r>
    </w:p>
    <w:p w:rsidR="00000000" w:rsidDel="00000000" w:rsidP="00000000" w:rsidRDefault="00000000" w:rsidRPr="00000000" w14:paraId="0000009B">
      <w:pPr>
        <w:spacing w:after="0" w:lineRule="auto"/>
        <w:rPr/>
      </w:pPr>
      <w:r w:rsidDel="00000000" w:rsidR="00000000" w:rsidRPr="00000000">
        <w:rPr>
          <w:rtl w:val="0"/>
        </w:rPr>
        <w:t xml:space="preserve">Os profissionais deverão utilizar adequadamente os EPIs conforme Figura 2, atentando para a sequência segura na colocação e retirada dos equipamentos.</w:t>
      </w:r>
    </w:p>
    <w:p w:rsidR="00000000" w:rsidDel="00000000" w:rsidP="00000000" w:rsidRDefault="00000000" w:rsidRPr="00000000" w14:paraId="0000009C">
      <w:pPr>
        <w:spacing w:after="0" w:lineRule="auto"/>
        <w:rPr/>
      </w:pPr>
      <w:r w:rsidDel="00000000" w:rsidR="00000000" w:rsidRPr="00000000">
        <w:rPr>
          <w:rtl w:val="0"/>
        </w:rPr>
        <w:t xml:space="preserve">Os profissionais deverão utilizar adequadamente os EPIs conforme Figura 2, atentando para a sequência segura na colocação e retirada dos equipamentos. Figura 3.</w:t>
      </w:r>
    </w:p>
    <w:p w:rsidR="00000000" w:rsidDel="00000000" w:rsidP="00000000" w:rsidRDefault="00000000" w:rsidRPr="00000000" w14:paraId="0000009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Obrigatório uso de avental descartável, luvas, máscara N95/PPF2, gorro e óculos de proteção ou máscara facial.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Utilizar avental impermeável na presença de grandes volumes de fluidos corporais como: banho, troca de fraldas, higiene íntima, cuidado com feridas, endoscopia, diálise e ECMO, e em situações que gerem aerossol como IOT, aspiração, VNI, RCP.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uso da máscara individual e reutilizável. Pode ser reutilizada pelo mesmo profissional (PPF2=1 dia e NR95=7 dias) desde que se mantenha íntegra, seca e limpa, mantida em saco plástico com nome;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Descarte com estiver com sujidade visível, danificada ou houver dificuldade para respirar.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Importante seguir a sequência adequada de colocação e retirada dos EPI´s.</w:t>
      </w:r>
    </w:p>
    <w:p w:rsidR="00000000" w:rsidDel="00000000" w:rsidP="00000000" w:rsidRDefault="00000000" w:rsidRPr="00000000" w14:paraId="000000A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/>
      </w:pPr>
      <w:r w:rsidDel="00000000" w:rsidR="00000000" w:rsidRPr="00000000">
        <w:rPr>
          <w:rtl w:val="0"/>
        </w:rPr>
        <w:t xml:space="preserve">Figura 2: Recomendação de medidas a serem implementadas para prevenção e</w:t>
      </w:r>
    </w:p>
    <w:p w:rsidR="00000000" w:rsidDel="00000000" w:rsidP="00000000" w:rsidRDefault="00000000" w:rsidRPr="00000000" w14:paraId="000000A5">
      <w:pPr>
        <w:spacing w:after="0" w:lineRule="auto"/>
        <w:rPr/>
      </w:pPr>
      <w:r w:rsidDel="00000000" w:rsidR="00000000" w:rsidRPr="00000000">
        <w:rPr>
          <w:rtl w:val="0"/>
        </w:rPr>
        <w:t xml:space="preserve">controle da disseminação do novo coronavírus (SARS-CoV-2) em serviços de</w:t>
      </w:r>
    </w:p>
    <w:p w:rsidR="00000000" w:rsidDel="00000000" w:rsidP="00000000" w:rsidRDefault="00000000" w:rsidRPr="00000000" w14:paraId="000000A6">
      <w:pPr>
        <w:spacing w:after="0" w:lineRule="auto"/>
        <w:rPr/>
      </w:pPr>
      <w:r w:rsidDel="00000000" w:rsidR="00000000" w:rsidRPr="00000000">
        <w:rPr>
          <w:rtl w:val="0"/>
        </w:rPr>
        <w:t xml:space="preserve">saúde.</w:t>
      </w:r>
    </w:p>
    <w:tbl>
      <w:tblPr>
        <w:tblStyle w:val="Table6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5701"/>
        <w:tblGridChange w:id="0">
          <w:tblGrid>
            <w:gridCol w:w="2943"/>
            <w:gridCol w:w="5701"/>
          </w:tblGrid>
        </w:tblGridChange>
      </w:tblGrid>
      <w:t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PROFISSIONAIS DE SAÚDE 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- higiene das mãos com água e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sabonete líquido OU preparação alcoólica a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70%;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- óculos de proteção ou protetor facial;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- máscara cirúrgica;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- avental;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- luvas de procedimento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- gorro (para procedimentos que geram aerossóis)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Observação: os profissionais de saúde deverão utilizar máscaras N95, FFP2, ou equivalente, ao realizar procedimentos geradores de aerossóis como por exemplo,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intubação ou aspiração traqueal, ventilação mecânica invasiva e não invasiva, ressuscitação cardiopulmonar, ventilação manual antes da intubação, coletas de amostras nasotraqueais.</w:t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PROFISSIONAIS DE APOIO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(profissionais da higiene e limpeza, nutrição,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manutenção, etc)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- higiene das mãos frequente com água e sabonete líquido OU preparação alcoólica a 70%;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- gorro (para procedimentos que geram aerossóis);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- óculos de proteção ou protetor facial;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- máscara cirúrgica;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- avental;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- luvas de procedimentos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Atenção: profissionais da higiene e limpeza, acrescentar luvas de borracha com cano longo e botas impermeáveis de cano longo.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rPr/>
      </w:pPr>
      <w:r w:rsidDel="00000000" w:rsidR="00000000" w:rsidRPr="00000000">
        <w:rPr>
          <w:rtl w:val="0"/>
        </w:rPr>
        <w:t xml:space="preserve">UTI Materna: </w:t>
      </w:r>
    </w:p>
    <w:p w:rsidR="00000000" w:rsidDel="00000000" w:rsidP="00000000" w:rsidRDefault="00000000" w:rsidRPr="00000000" w14:paraId="000000BF">
      <w:pPr>
        <w:spacing w:after="0" w:lineRule="auto"/>
        <w:rPr/>
      </w:pPr>
      <w:r w:rsidDel="00000000" w:rsidR="00000000" w:rsidRPr="00000000">
        <w:rPr>
          <w:rtl w:val="0"/>
        </w:rPr>
        <w:t xml:space="preserve">A primeira paciente será internada na sala de isolamento, caso a demanda deste setor aumente com mais pacientes, a UTI funcionará com isolamento de coorte respeitando distanciamento adequado entre os leitos (1 metro).</w:t>
      </w:r>
    </w:p>
    <w:p w:rsidR="00000000" w:rsidDel="00000000" w:rsidP="00000000" w:rsidRDefault="00000000" w:rsidRPr="00000000" w14:paraId="000000C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rPr/>
      </w:pPr>
      <w:r w:rsidDel="00000000" w:rsidR="00000000" w:rsidRPr="00000000">
        <w:rPr>
          <w:rtl w:val="0"/>
        </w:rPr>
        <w:t xml:space="preserve">UTI neo: </w:t>
      </w:r>
    </w:p>
    <w:p w:rsidR="00000000" w:rsidDel="00000000" w:rsidP="00000000" w:rsidRDefault="00000000" w:rsidRPr="00000000" w14:paraId="000000C2">
      <w:pPr>
        <w:spacing w:after="0" w:lineRule="auto"/>
        <w:rPr/>
      </w:pPr>
      <w:r w:rsidDel="00000000" w:rsidR="00000000" w:rsidRPr="00000000">
        <w:rPr>
          <w:rtl w:val="0"/>
        </w:rPr>
        <w:t xml:space="preserve">Os recém-nascidos que necessitarem cuidados intensivos e semi intensivos deverão ser encaminhados, com as precauções de deslocamento adequadas, até a box 1.</w:t>
      </w:r>
    </w:p>
    <w:p w:rsidR="00000000" w:rsidDel="00000000" w:rsidP="00000000" w:rsidRDefault="00000000" w:rsidRPr="00000000" w14:paraId="000000C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Enfermaria 1 e 8, sala de parto 2 e se necessário “semi-intensiva” do pré parto: seguir as recomendações contidas na Figura 2, atentando para a sequência segura na colocação e retirada dos equipamentos. (Figura 3)</w:t>
      </w:r>
    </w:p>
    <w:tbl>
      <w:tblPr>
        <w:tblStyle w:val="Table7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Figura 3: Sequência adequada de colocação e retida dos EPIs: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190312" cy="265572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312" cy="26557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3014371" cy="2651611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71" cy="26516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rPr/>
      </w:pPr>
      <w:r w:rsidDel="00000000" w:rsidR="00000000" w:rsidRPr="00000000">
        <w:rPr>
          <w:rtl w:val="0"/>
        </w:rPr>
        <w:t xml:space="preserve">6. NOTIFICAÇÃO DO CASO SUSPEITO OU CONFIRMADO: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notificação imediata deve ser realizada pelo meio de comunicação mais rápido disponível, em até 24( vinte e quatro) horas a partir do conhecimento de caso que se enquadre na definição de caso suspeito. 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notificação imediata deve ser feita ao Centro de Informações Estratégicas e Resposta em Vigilância em Saúde – CIEVS, da SUVISA/SESAU/AL.  Por telefone:  (82) 3315 - 2059/ 0800 284 5415 (Horário comercial   – todos os dias) ou celular (82) 98882 - 9752 (24hs). Por endereço eletrônico: notifica@saude.al.gov.br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 notificação e investigação de casos suspeitos do novo Coronavírus utilizar o FORMULÁRIO PADRONIZADO: é um FormSus disponível em http://bit.ly/2019ncov.  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profissional que suspeitar do caso deve preencher a ficha impressa, enviar uma cópia para o LACEN junto com a solicitação do GAL e anexar a ficha original ao prontuário do paciente.  Posteriormente, a ficha original será recolhida pelo Núcleo Hospitalar de Epidemiologia, que encaminhará a mesma ao CIEVS.  </w:t>
      </w:r>
    </w:p>
    <w:p w:rsidR="00000000" w:rsidDel="00000000" w:rsidP="00000000" w:rsidRDefault="00000000" w:rsidRPr="00000000" w14:paraId="000000C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rPr/>
      </w:pPr>
      <w:r w:rsidDel="00000000" w:rsidR="00000000" w:rsidRPr="00000000">
        <w:rPr>
          <w:rtl w:val="0"/>
        </w:rPr>
        <w:t xml:space="preserve">Atenção especial deve ser dada a outras síndromes respiratórias para utilizar os instrumentos de notificação:  </w:t>
      </w:r>
    </w:p>
    <w:tbl>
      <w:tblPr>
        <w:tblStyle w:val="Table8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DEFINIÇÃO DE CASO  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FICHA DE NOTIFICAÇÃO 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Caso que NÃO atenda à definição de caso suspeito de COVID -19  e que atenda à definição de Caso de Síndrome Respiratória Grave (SRAG)1  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Ficha de SRAG 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Caso que apresentou quadro de SRAG E que ATENDE a um dos critérios epidemiológicos de caso suspeito de 2019 –nCoV 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Ficha de SRAG E a ficha de notificação para casos suspeitos 2019 –nCoV (FormSus disponível em http://bit.ly/2019-ncov).   </w:t>
            </w:r>
          </w:p>
        </w:tc>
      </w:tr>
    </w:tbl>
    <w:p w:rsidR="00000000" w:rsidDel="00000000" w:rsidP="00000000" w:rsidRDefault="00000000" w:rsidRPr="00000000" w14:paraId="000000D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rPr/>
      </w:pPr>
      <w:r w:rsidDel="00000000" w:rsidR="00000000" w:rsidRPr="00000000">
        <w:rPr>
          <w:rtl w:val="0"/>
        </w:rPr>
        <w:t xml:space="preserve">SRAG: indivíduo hospitalizado com febre, mesmo que referida, acompanhada de tosse ou dor de garganta e que apresente dispneia ou saturação O2 &lt; 95% ou desconforto respiratório ou que evoluiu para óbito por SRAG independente de internação. </w:t>
      </w:r>
    </w:p>
    <w:p w:rsidR="00000000" w:rsidDel="00000000" w:rsidP="00000000" w:rsidRDefault="00000000" w:rsidRPr="00000000" w14:paraId="000000D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Informar imediatamente ao NHE do hospital.  </w:t>
      </w:r>
    </w:p>
    <w:p w:rsidR="00000000" w:rsidDel="00000000" w:rsidP="00000000" w:rsidRDefault="00000000" w:rsidRPr="00000000" w14:paraId="000000D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rPr/>
      </w:pPr>
      <w:r w:rsidDel="00000000" w:rsidR="00000000" w:rsidRPr="00000000">
        <w:rPr>
          <w:rtl w:val="0"/>
        </w:rPr>
        <w:t xml:space="preserve">7. DIAGNÓSTICO  </w:t>
      </w:r>
    </w:p>
    <w:p w:rsidR="00000000" w:rsidDel="00000000" w:rsidP="00000000" w:rsidRDefault="00000000" w:rsidRPr="00000000" w14:paraId="000000D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rPr/>
      </w:pPr>
      <w:r w:rsidDel="00000000" w:rsidR="00000000" w:rsidRPr="00000000">
        <w:rPr>
          <w:rtl w:val="0"/>
        </w:rPr>
        <w:t xml:space="preserve">7.1 DIAGNÓSTICO CLÍNICO </w:t>
      </w:r>
    </w:p>
    <w:p w:rsidR="00000000" w:rsidDel="00000000" w:rsidP="00000000" w:rsidRDefault="00000000" w:rsidRPr="00000000" w14:paraId="000000DE">
      <w:pPr>
        <w:spacing w:after="0" w:lineRule="auto"/>
        <w:rPr/>
      </w:pPr>
      <w:r w:rsidDel="00000000" w:rsidR="00000000" w:rsidRPr="00000000">
        <w:rPr>
          <w:rtl w:val="0"/>
        </w:rPr>
        <w:t xml:space="preserve">    O quadro clínico inicial da doença é caracterizado como síndrome gripal, no entanto, casos iniciais leves, podem evoluir para elevação progressiva da temperatura e a febre ser persistente além de 3 a 4 dias, ao contrário do que se observa nos casos de inflenza. O diagnóstico depende da investigação clínico-epidemiológica e do exame físico. É recomendável que em todos os casos de síndrome gripal seja questionado e registrado no prontuário o HISTÓRICO DE VIAGEM PARA O EXTERIOR OU CONTATO PRÓXIMO COM PESSOAS QUE TENHAM VIAJADO PARA O EXTERIOR.  </w:t>
      </w:r>
    </w:p>
    <w:p w:rsidR="00000000" w:rsidDel="00000000" w:rsidP="00000000" w:rsidRDefault="00000000" w:rsidRPr="00000000" w14:paraId="000000D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rPr/>
      </w:pPr>
      <w:r w:rsidDel="00000000" w:rsidR="00000000" w:rsidRPr="00000000">
        <w:rPr>
          <w:rtl w:val="0"/>
        </w:rPr>
        <w:t xml:space="preserve">7.2 DIAGNÓSTICO LABORATORIAL  </w:t>
      </w:r>
    </w:p>
    <w:p w:rsidR="00000000" w:rsidDel="00000000" w:rsidP="00000000" w:rsidRDefault="00000000" w:rsidRPr="00000000" w14:paraId="000000E1">
      <w:pPr>
        <w:spacing w:after="0" w:lineRule="auto"/>
        <w:rPr/>
      </w:pPr>
      <w:r w:rsidDel="00000000" w:rsidR="00000000" w:rsidRPr="00000000">
        <w:rPr>
          <w:rtl w:val="0"/>
        </w:rPr>
        <w:t xml:space="preserve">A identificação do vírus é realizado por meio das técnicas de RT-PCR em tempo real e sequenciamento parcial ou total do genoma viral. </w:t>
      </w:r>
    </w:p>
    <w:p w:rsidR="00000000" w:rsidDel="00000000" w:rsidP="00000000" w:rsidRDefault="00000000" w:rsidRPr="00000000" w14:paraId="000000E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rPr/>
      </w:pPr>
      <w:r w:rsidDel="00000000" w:rsidR="00000000" w:rsidRPr="00000000">
        <w:rPr>
          <w:rtl w:val="0"/>
        </w:rPr>
        <w:t xml:space="preserve">8. COLETA DE AMOSTRAS PARA EXAMES  </w:t>
      </w:r>
    </w:p>
    <w:p w:rsidR="00000000" w:rsidDel="00000000" w:rsidP="00000000" w:rsidRDefault="00000000" w:rsidRPr="00000000" w14:paraId="000000E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 coleta de exames (RT-PCR) é essencial para o diagnóstico definitivo. Devem ser colhidos o mais rapidamente possível, porém não podem retardar o início do tratamento.  No caso suspeito recomenda-se a coleta dos seguintes espécimes: o Aspirado de nasofaringe OU swab combinado (nasal e oral). Quando possível, secreções de vias aéreas inferiores devem também ser colhidas (escarro, lavado broncoalveolar, aspirado traqueal).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Acionar laboratório para coleta das amostras ( 02 amostras). </w:t>
      </w:r>
    </w:p>
    <w:p w:rsidR="00000000" w:rsidDel="00000000" w:rsidP="00000000" w:rsidRDefault="00000000" w:rsidRPr="00000000" w14:paraId="000000E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Preencher formulário do GAL solicitando col</w:t>
      </w:r>
      <w:r w:rsidDel="00000000" w:rsidR="00000000" w:rsidRPr="00000000">
        <w:rPr>
          <w:rtl w:val="0"/>
        </w:rPr>
        <w:t xml:space="preserve">eta de aspirado de nasofaringe OU swab combinado (nasal e oral) - preencher o campo Agravo/Doença com “Influenza” ou “Vírus Respiratório” e, na suspeita de 2019-nCoV, inserir esta informação no campo Dados Clínicos/Laboratoriais.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Hemoculturas para bactér</w:t>
      </w:r>
      <w:r w:rsidDel="00000000" w:rsidR="00000000" w:rsidRPr="00000000">
        <w:rPr>
          <w:rtl w:val="0"/>
        </w:rPr>
        <w:t xml:space="preserve">ias (1 par, pelo menos);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Radiografia simples de tórax – utilizar aparelho portátil ou tomografia computadorizada (considerar risco inerente ao deslocamento); </w:t>
      </w:r>
    </w:p>
    <w:p w:rsidR="00000000" w:rsidDel="00000000" w:rsidP="00000000" w:rsidRDefault="00000000" w:rsidRPr="00000000" w14:paraId="000000E9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Outros exames para diagnóstico e manejo de complicações podem ser necessários: hemograma, urei</w:t>
      </w:r>
      <w:r w:rsidDel="00000000" w:rsidR="00000000" w:rsidRPr="00000000">
        <w:rPr>
          <w:rtl w:val="0"/>
        </w:rPr>
        <w:t xml:space="preserve">a, creatinina, gasometria arterial, lactato, eletrólitos, enzimas hepáticas, coagulograma e outros a critério médico.  </w:t>
      </w:r>
    </w:p>
    <w:p w:rsidR="00000000" w:rsidDel="00000000" w:rsidP="00000000" w:rsidRDefault="00000000" w:rsidRPr="00000000" w14:paraId="000000E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rPr/>
      </w:pPr>
      <w:r w:rsidDel="00000000" w:rsidR="00000000" w:rsidRPr="00000000">
        <w:rPr>
          <w:rtl w:val="0"/>
        </w:rPr>
        <w:t xml:space="preserve">MEDIDAS TERAPÊUTICAS PARA PACIENTES GRAVES  </w:t>
      </w:r>
    </w:p>
    <w:p w:rsidR="00000000" w:rsidDel="00000000" w:rsidP="00000000" w:rsidRDefault="00000000" w:rsidRPr="00000000" w14:paraId="000000EC">
      <w:pPr>
        <w:spacing w:after="0" w:lineRule="auto"/>
        <w:rPr/>
      </w:pPr>
      <w:r w:rsidDel="00000000" w:rsidR="00000000" w:rsidRPr="00000000">
        <w:rPr>
          <w:rtl w:val="0"/>
        </w:rPr>
        <w:t xml:space="preserve">Não há medicamento específico conhecido. Portanto, as medidas terapêuticas visam a manutenção das funções vitais do enfermo e o suporte clínico adequado. </w:t>
      </w:r>
    </w:p>
    <w:p w:rsidR="00000000" w:rsidDel="00000000" w:rsidP="00000000" w:rsidRDefault="00000000" w:rsidRPr="00000000" w14:paraId="000000E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Recomenda-se: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Oxigenoterapia suplementar – iniciar com fluxo de 5L/min, objetivando manter a SpO2 ≥ 90%. Em gestantes manter SpO2 entre 92-95%. Em </w:t>
      </w:r>
      <w:r w:rsidDel="00000000" w:rsidR="00000000" w:rsidRPr="00000000">
        <w:rPr>
          <w:rtl w:val="0"/>
        </w:rPr>
        <w:t xml:space="preserve">crianças, ≥ 94%. Monitorar com oxímetro de pulso; </w:t>
      </w:r>
    </w:p>
    <w:p w:rsidR="00000000" w:rsidDel="00000000" w:rsidP="00000000" w:rsidRDefault="00000000" w:rsidRPr="00000000" w14:paraId="000000E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Usa</w:t>
      </w:r>
      <w:r w:rsidDel="00000000" w:rsidR="00000000" w:rsidRPr="00000000">
        <w:rPr>
          <w:rtl w:val="0"/>
        </w:rPr>
        <w:t xml:space="preserve">r tratamento conservador com fluidos em pacientes com SRAG, quando não houver evidência de choque. Reposição volêmica adequada com cristaloides. Cuidado com a hiper-hidratação, pois pode piorar a oxigenação por congestão pulmonar;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Antimicrobianos empíric</w:t>
      </w:r>
      <w:r w:rsidDel="00000000" w:rsidR="00000000" w:rsidRPr="00000000">
        <w:rPr>
          <w:rtl w:val="0"/>
        </w:rPr>
        <w:t xml:space="preserve">os – prescrever esquema antimicrobiano indicado para pneumonia adquirida na comunidade, conforme protocolo. (cefalosporina de 3ª geração + macrolídeo ou fluorquinolona, por exemplo).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Iniciar oseltamivir com as doses indicadas para o tratamento, de acord</w:t>
      </w:r>
      <w:r w:rsidDel="00000000" w:rsidR="00000000" w:rsidRPr="00000000">
        <w:rPr>
          <w:rtl w:val="0"/>
        </w:rPr>
        <w:t xml:space="preserve">o com a idade do enfermo, até resultado do exame específico; </w:t>
      </w:r>
    </w:p>
    <w:p w:rsidR="00000000" w:rsidDel="00000000" w:rsidP="00000000" w:rsidRDefault="00000000" w:rsidRPr="00000000" w14:paraId="000000F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Controle das comorbidades pré-existentes, principalmente doenças pulmonares, cardíacas, hipertensão arterial sistêmica e diabetes; </w:t>
      </w:r>
    </w:p>
    <w:p w:rsidR="00000000" w:rsidDel="00000000" w:rsidP="00000000" w:rsidRDefault="00000000" w:rsidRPr="00000000" w14:paraId="000000F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Monitorar sinais clínicos que indiquem evolução para gravida</w:t>
      </w:r>
      <w:r w:rsidDel="00000000" w:rsidR="00000000" w:rsidRPr="00000000">
        <w:rPr>
          <w:rtl w:val="0"/>
        </w:rPr>
        <w:t xml:space="preserve">de e necessidade de terapia intensiva. Reconhecer desconforto respiratório grave mesmo quando oxigenioterapia ofertada em alto fluxo.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Havendo necessidade de terapia intensiva, os protocolos para sepse e/ou SDRA nortearão a conduta.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Tratamento da insu</w:t>
      </w:r>
      <w:r w:rsidDel="00000000" w:rsidR="00000000" w:rsidRPr="00000000">
        <w:rPr>
          <w:rtl w:val="0"/>
        </w:rPr>
        <w:t xml:space="preserve">ficiência respiratória hipoxêmica e síndrome respiratória aguda grave (SRAG)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Instituir ventilação mecânica precocemente em pacientes com insuficiência respiratória hipoxêmica persistente (apesar da oxigenoterapia). </w:t>
      </w:r>
    </w:p>
    <w:p w:rsidR="00000000" w:rsidDel="00000000" w:rsidP="00000000" w:rsidRDefault="00000000" w:rsidRPr="00000000" w14:paraId="000000F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Considerar ventilação não invasiva (V</w:t>
      </w:r>
      <w:r w:rsidDel="00000000" w:rsidR="00000000" w:rsidRPr="00000000">
        <w:rPr>
          <w:rtl w:val="0"/>
        </w:rPr>
        <w:t xml:space="preserve">NI) se desconforto respiratório leve, imunossupressão presente ou problemas cardiovasculares, se houver isolamento com pressão negativa, devido à dispersão de aerossois.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Recomenda-se bloqueio neuromuscular durante a intubação endotraqueal para evitar toss</w:t>
      </w:r>
      <w:r w:rsidDel="00000000" w:rsidR="00000000" w:rsidRPr="00000000">
        <w:rPr>
          <w:rtl w:val="0"/>
        </w:rPr>
        <w:t xml:space="preserve">e.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 Implementar ventilação mecânica usando volumes correntes mais baixos (4-8 ml / kg de peso corporal previsto, PBW) e pressões inspiratórias mais baixas (pressão de platô &lt;30 cmH2O).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Usar filtro conectado ao ventilador manual. </w:t>
      </w:r>
    </w:p>
    <w:p w:rsidR="00000000" w:rsidDel="00000000" w:rsidP="00000000" w:rsidRDefault="00000000" w:rsidRPr="00000000" w14:paraId="000000F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Colocar pacientes em posição pro</w:t>
      </w:r>
      <w:r w:rsidDel="00000000" w:rsidR="00000000" w:rsidRPr="00000000">
        <w:rPr>
          <w:rtl w:val="0"/>
        </w:rPr>
        <w:t xml:space="preserve">na pode melhorar a oxigenação, mas deve ser garantida a segurança do paciente.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Evitar que o paciente se desconecte do ventilador, o que resulta em perda de PEEP e atelectasia. Use cateteres em linha para sucção das vias aéreas e prenda o tubo endotraquea</w:t>
      </w:r>
      <w:r w:rsidDel="00000000" w:rsidR="00000000" w:rsidRPr="00000000">
        <w:rPr>
          <w:rtl w:val="0"/>
        </w:rPr>
        <w:t xml:space="preserve">l quando for necessário desconectar (por exemplo, transferir para um ventilador de transporte) para evitar disseminação de spray respiratório.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Adotar uma estratégia conservadora de gerenciamento de fluidos para pacientes sem hipoperfusão tecidual.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</w:t>
      </w:r>
      <w:r w:rsidDel="00000000" w:rsidR="00000000" w:rsidRPr="00000000">
        <w:rPr>
          <w:rtl w:val="0"/>
        </w:rPr>
        <w:t xml:space="preserve">renciamento do choque séptico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Reconhecer o choque séptico em adultos quando houver suspeita ou confirmação de infecção e os vasopressores forem necessários para manter a pressão arterial média (PAM) ≥65 mmHg E o lactato é ≥2 mmol / L, na ausência de hipo</w:t>
      </w:r>
      <w:r w:rsidDel="00000000" w:rsidR="00000000" w:rsidRPr="00000000">
        <w:rPr>
          <w:rtl w:val="0"/>
        </w:rPr>
        <w:t xml:space="preserve">volemia.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ressuscitação do choque séptico em adultos, administre pelo menos 30 ml / kg de cristalóide isotônico em adultos nas primeiras 3 horas. </w:t>
      </w:r>
    </w:p>
    <w:p w:rsidR="00000000" w:rsidDel="00000000" w:rsidP="00000000" w:rsidRDefault="00000000" w:rsidRPr="00000000" w14:paraId="0000010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Não use soluções hipotônicas ou baseadas em amidos para ressuscitação. </w:t>
      </w:r>
    </w:p>
    <w:p w:rsidR="00000000" w:rsidDel="00000000" w:rsidP="00000000" w:rsidRDefault="00000000" w:rsidRPr="00000000" w14:paraId="00000101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Administre vasopressores quand</w:t>
      </w:r>
      <w:r w:rsidDel="00000000" w:rsidR="00000000" w:rsidRPr="00000000">
        <w:rPr>
          <w:rtl w:val="0"/>
        </w:rPr>
        <w:t xml:space="preserve">o o choque persistir durante ou após a ressuscitação hídrica.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 os cateteres venosos centrais não estiverem disponíveis, os vasopressores podem ser administrados por meio de um IV periférico, mas use uma veia grande e monitore de perto os sinais de ex</w:t>
      </w:r>
      <w:r w:rsidDel="00000000" w:rsidR="00000000" w:rsidRPr="00000000">
        <w:rPr>
          <w:rtl w:val="0"/>
        </w:rPr>
        <w:t xml:space="preserve">travasamento e necrose tecidual local. Se ocorrer extravasamento, pare a infusão. Os vasopressores também podem ser administrados através de agulhas intraósseas.</w:t>
      </w:r>
    </w:p>
    <w:p w:rsidR="00000000" w:rsidDel="00000000" w:rsidP="00000000" w:rsidRDefault="00000000" w:rsidRPr="00000000" w14:paraId="00000102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Considere administrar hidrocortisona intravenosa (até 200mg/dia) ou prednisolona (até 75mg</w:t>
      </w:r>
      <w:r w:rsidDel="00000000" w:rsidR="00000000" w:rsidRPr="00000000">
        <w:rPr>
          <w:rtl w:val="0"/>
        </w:rPr>
        <w:t xml:space="preserve">/dia) em pacientes com choque persistente que necessitem de doses crescentes de vasopressores.    </w:t>
      </w:r>
    </w:p>
    <w:p w:rsidR="00000000" w:rsidDel="00000000" w:rsidP="00000000" w:rsidRDefault="00000000" w:rsidRPr="00000000" w14:paraId="000001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rPr/>
      </w:pPr>
      <w:r w:rsidDel="00000000" w:rsidR="00000000" w:rsidRPr="00000000">
        <w:rPr>
          <w:rtl w:val="0"/>
        </w:rPr>
        <w:t xml:space="preserve">9. INDICAÇÃO PARA REPETIÇÃO DE EXAMES DE RT – PCR  </w:t>
      </w:r>
    </w:p>
    <w:p w:rsidR="00000000" w:rsidDel="00000000" w:rsidP="00000000" w:rsidRDefault="00000000" w:rsidRPr="00000000" w14:paraId="0000010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Avaliar possibilidade de repetir o RT- PCR antes da alta ou eventual transferência para fora do isolame</w:t>
      </w:r>
      <w:r w:rsidDel="00000000" w:rsidR="00000000" w:rsidRPr="00000000">
        <w:rPr>
          <w:rtl w:val="0"/>
        </w:rPr>
        <w:t xml:space="preserve">nto, devido a possibilidade de excreção prolongada do virus;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Pacientes que necessitem de internação prolongada por outras comorbidades , devem também repetir o RT- PCR para eventual liberação de isolamento, independente da ausência de sintomas.   </w:t>
      </w:r>
    </w:p>
    <w:p w:rsidR="00000000" w:rsidDel="00000000" w:rsidP="00000000" w:rsidRDefault="00000000" w:rsidRPr="00000000" w14:paraId="000001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rPr/>
      </w:pPr>
      <w:r w:rsidDel="00000000" w:rsidR="00000000" w:rsidRPr="00000000">
        <w:rPr>
          <w:rtl w:val="0"/>
        </w:rPr>
        <w:t xml:space="preserve">10. AMAMENTAÇÃO:</w:t>
      </w:r>
    </w:p>
    <w:p w:rsidR="00000000" w:rsidDel="00000000" w:rsidP="00000000" w:rsidRDefault="00000000" w:rsidRPr="00000000" w14:paraId="00000109">
      <w:pPr>
        <w:spacing w:after="0" w:lineRule="auto"/>
        <w:rPr/>
      </w:pPr>
      <w:r w:rsidDel="00000000" w:rsidR="00000000" w:rsidRPr="00000000">
        <w:rPr>
          <w:rtl w:val="0"/>
        </w:rPr>
        <w:t xml:space="preserve">Dada a realidade de que as mães infectadas com Coronavirus provavelmente já colonizaram seu lactente, a amamentação continuada tem o potencial de transmitir anticorpos maternos protetores para o recém nascido através do leite materno. Assim, a amamentação deve continuar com a mãe praticando cuidadosamente a lavagem das mãos e o uso da máscara cirúrgica durante a amamentação, para minimizar a exposição viral adicional ao recém nascido.</w:t>
      </w:r>
    </w:p>
    <w:p w:rsidR="00000000" w:rsidDel="00000000" w:rsidP="00000000" w:rsidRDefault="00000000" w:rsidRPr="00000000" w14:paraId="000001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rPr/>
      </w:pPr>
      <w:r w:rsidDel="00000000" w:rsidR="00000000" w:rsidRPr="00000000">
        <w:rPr>
          <w:rtl w:val="0"/>
        </w:rPr>
        <w:t xml:space="preserve">REFERÊNCIAS  </w:t>
      </w:r>
    </w:p>
    <w:p w:rsidR="00000000" w:rsidDel="00000000" w:rsidP="00000000" w:rsidRDefault="00000000" w:rsidRPr="00000000" w14:paraId="0000010C">
      <w:pPr>
        <w:spacing w:after="0" w:lineRule="auto"/>
        <w:rPr/>
      </w:pPr>
      <w:r w:rsidDel="00000000" w:rsidR="00000000" w:rsidRPr="00000000">
        <w:rPr>
          <w:rtl w:val="0"/>
        </w:rPr>
        <w:t xml:space="preserve">AGÊNCIA NACIONAL DE VIGILÂNCIA SANITÁRIA – ANVISA. Nota técnica nº 04/2020 GVIMS/GGTES/ANVISA. 2020  </w:t>
      </w:r>
    </w:p>
    <w:p w:rsidR="00000000" w:rsidDel="00000000" w:rsidP="00000000" w:rsidRDefault="00000000" w:rsidRPr="00000000" w14:paraId="0000010D">
      <w:pPr>
        <w:spacing w:after="0" w:lineRule="auto"/>
        <w:rPr/>
      </w:pPr>
      <w:r w:rsidDel="00000000" w:rsidR="00000000" w:rsidRPr="00000000">
        <w:rPr>
          <w:rtl w:val="0"/>
        </w:rPr>
        <w:t xml:space="preserve">BRASIL. Ministério da Saúde. Secretaria de Vigilância em Saúde. Boletim epidemiológico 04: doença pelo Coronavírus 2019 – atualização das definições de caso. 2020.  </w:t>
      </w:r>
    </w:p>
    <w:p w:rsidR="00000000" w:rsidDel="00000000" w:rsidP="00000000" w:rsidRDefault="00000000" w:rsidRPr="00000000" w14:paraId="0000010E">
      <w:pPr>
        <w:spacing w:after="0" w:lineRule="auto"/>
        <w:rPr/>
      </w:pPr>
      <w:r w:rsidDel="00000000" w:rsidR="00000000" w:rsidRPr="00000000">
        <w:rPr>
          <w:rtl w:val="0"/>
        </w:rPr>
        <w:t xml:space="preserve">CHEN, Nanshan; et. al. Epidemiological and clinical characteristics of 99 cases of 2019 novel coronavirus pneumonia in Wuhan, China: a descriptive study. The Lancet. 29 de Janeiro, 2020.  </w:t>
      </w:r>
    </w:p>
    <w:p w:rsidR="00000000" w:rsidDel="00000000" w:rsidP="00000000" w:rsidRDefault="00000000" w:rsidRPr="00000000" w14:paraId="0000010F">
      <w:pPr>
        <w:spacing w:after="0" w:lineRule="auto"/>
        <w:rPr/>
      </w:pPr>
      <w:r w:rsidDel="00000000" w:rsidR="00000000" w:rsidRPr="00000000">
        <w:rPr>
          <w:rtl w:val="0"/>
        </w:rPr>
        <w:t xml:space="preserve">THE EDITOR. Importation and Human-to-Human Transmission of a Novel Coronavirus in Vietnam. The New England Journal of Medicine. Correspondence. 28 de Janeiro, 2020.  </w:t>
      </w:r>
    </w:p>
    <w:p w:rsidR="00000000" w:rsidDel="00000000" w:rsidP="00000000" w:rsidRDefault="00000000" w:rsidRPr="00000000" w14:paraId="00000110">
      <w:pPr>
        <w:spacing w:after="0" w:lineRule="auto"/>
        <w:rPr/>
      </w:pPr>
      <w:r w:rsidDel="00000000" w:rsidR="00000000" w:rsidRPr="00000000">
        <w:rPr>
          <w:rtl w:val="0"/>
        </w:rPr>
        <w:t xml:space="preserve">HUANG, Chaolin; et. al. Clinical features of patients infected with 2019 novel coronavirus in Wuhan, China. The Lancet. 24 de Janeiro, 2020.  </w:t>
      </w:r>
    </w:p>
    <w:p w:rsidR="00000000" w:rsidDel="00000000" w:rsidP="00000000" w:rsidRDefault="00000000" w:rsidRPr="00000000" w14:paraId="00000111">
      <w:pPr>
        <w:spacing w:after="0" w:lineRule="auto"/>
        <w:rPr/>
      </w:pPr>
      <w:r w:rsidDel="00000000" w:rsidR="00000000" w:rsidRPr="00000000">
        <w:rPr>
          <w:rtl w:val="0"/>
        </w:rPr>
        <w:t xml:space="preserve">LI, Qun; et. al. Early Transmission Dynamics in Wuhan, China, of Novel Coronavirus– Infected Pneumonia. The New England Journal of Medicine. Original Article. 29 de Janeiro, 2020.  </w:t>
      </w:r>
    </w:p>
    <w:p w:rsidR="00000000" w:rsidDel="00000000" w:rsidP="00000000" w:rsidRDefault="00000000" w:rsidRPr="00000000" w14:paraId="00000112">
      <w:pPr>
        <w:spacing w:after="0" w:lineRule="auto"/>
        <w:rPr/>
      </w:pPr>
      <w:r w:rsidDel="00000000" w:rsidR="00000000" w:rsidRPr="00000000">
        <w:rPr>
          <w:rtl w:val="0"/>
        </w:rPr>
        <w:t xml:space="preserve">Ministério da Saúde – Protocolo de Tratamento do Novo Coronavírus (2019-nCoV). 2020  </w:t>
      </w:r>
    </w:p>
    <w:p w:rsidR="00000000" w:rsidDel="00000000" w:rsidP="00000000" w:rsidRDefault="00000000" w:rsidRPr="00000000" w14:paraId="00000113">
      <w:pPr>
        <w:spacing w:after="0" w:lineRule="auto"/>
        <w:rPr/>
      </w:pPr>
      <w:r w:rsidDel="00000000" w:rsidR="00000000" w:rsidRPr="00000000">
        <w:rPr>
          <w:rtl w:val="0"/>
        </w:rPr>
        <w:t xml:space="preserve">MUNSTER, Vincent J.; et. al. A Novel Coronavirus Emerging in China — Key Questions for Impact Assessment. The New England Journal of Medicine. ED. Perspective - A Novel Coronavirus Emerging in China. 26 de Janeiro, 2020.  </w:t>
      </w:r>
    </w:p>
    <w:p w:rsidR="00000000" w:rsidDel="00000000" w:rsidP="00000000" w:rsidRDefault="00000000" w:rsidRPr="00000000" w14:paraId="00000114">
      <w:pPr>
        <w:spacing w:after="0" w:lineRule="auto"/>
        <w:rPr/>
      </w:pPr>
      <w:r w:rsidDel="00000000" w:rsidR="00000000" w:rsidRPr="00000000">
        <w:rPr>
          <w:rtl w:val="0"/>
        </w:rPr>
        <w:t xml:space="preserve">ÑAMENDYS-SILVA, S. A. Respiratory support for patients with COVID-19 Infection. Lancet Respir Med 2020. n. March 5. 2020  </w:t>
      </w:r>
    </w:p>
    <w:p w:rsidR="00000000" w:rsidDel="00000000" w:rsidP="00000000" w:rsidRDefault="00000000" w:rsidRPr="00000000" w14:paraId="00000115">
      <w:pPr>
        <w:spacing w:after="0" w:lineRule="auto"/>
        <w:rPr/>
      </w:pPr>
      <w:r w:rsidDel="00000000" w:rsidR="00000000" w:rsidRPr="00000000">
        <w:rPr>
          <w:rtl w:val="0"/>
        </w:rPr>
        <w:t xml:space="preserve">OMS – Organização Mundial de Saúde. Advice on the use of masks the community, during home care and in health care settings in the context of the novel coronavirus (2019-nCoV) outbreak: Interim guidance. 29 de Janeiro, 2020.  </w:t>
      </w:r>
    </w:p>
    <w:p w:rsidR="00000000" w:rsidDel="00000000" w:rsidP="00000000" w:rsidRDefault="00000000" w:rsidRPr="00000000" w14:paraId="00000116">
      <w:pPr>
        <w:spacing w:after="0" w:lineRule="auto"/>
        <w:rPr/>
      </w:pPr>
      <w:r w:rsidDel="00000000" w:rsidR="00000000" w:rsidRPr="00000000">
        <w:rPr>
          <w:rtl w:val="0"/>
        </w:rPr>
        <w:t xml:space="preserve">OMS – Organização Mundial de Saúde. Clinical management of severe acute respiratory infection when novel coronavirus (2019-nCoV) infection is suspected: Interim guidance. 28 de Janeiro, 2020.  </w:t>
      </w:r>
    </w:p>
    <w:p w:rsidR="00000000" w:rsidDel="00000000" w:rsidP="00000000" w:rsidRDefault="00000000" w:rsidRPr="00000000" w14:paraId="00000117">
      <w:pPr>
        <w:spacing w:after="0" w:lineRule="auto"/>
        <w:rPr/>
      </w:pPr>
      <w:r w:rsidDel="00000000" w:rsidR="00000000" w:rsidRPr="00000000">
        <w:rPr>
          <w:rtl w:val="0"/>
        </w:rPr>
        <w:t xml:space="preserve">PERLMAN, Stanley. Another Decade, Another Coronavirus. The New England Journal of Medicine. Editorial. 26 de Janeiro, 2020.  </w:t>
      </w:r>
    </w:p>
    <w:p w:rsidR="00000000" w:rsidDel="00000000" w:rsidP="00000000" w:rsidRDefault="00000000" w:rsidRPr="00000000" w14:paraId="00000118">
      <w:pPr>
        <w:spacing w:after="0" w:lineRule="auto"/>
        <w:rPr/>
      </w:pPr>
      <w:r w:rsidDel="00000000" w:rsidR="00000000" w:rsidRPr="00000000">
        <w:rPr>
          <w:rtl w:val="0"/>
        </w:rPr>
        <w:t xml:space="preserve">RUBIN, Eric J; et. al. Medical Journals and the 2019-nCoV Outbreak. The New England Journal of Medicine. Editori a l. 28 de Janeiro, 2020.  </w:t>
      </w:r>
    </w:p>
    <w:p w:rsidR="00000000" w:rsidDel="00000000" w:rsidP="00000000" w:rsidRDefault="00000000" w:rsidRPr="00000000" w14:paraId="00000119">
      <w:pPr>
        <w:spacing w:after="0" w:lineRule="auto"/>
        <w:rPr/>
      </w:pPr>
      <w:r w:rsidDel="00000000" w:rsidR="00000000" w:rsidRPr="00000000">
        <w:rPr>
          <w:rtl w:val="0"/>
        </w:rPr>
        <w:t xml:space="preserve">SUVISA/CIEVS. Alerta epidemiológico GT 2019-nCOV nº 01/2020 – 01/fev. 2020  </w:t>
      </w:r>
    </w:p>
    <w:p w:rsidR="00000000" w:rsidDel="00000000" w:rsidP="00000000" w:rsidRDefault="00000000" w:rsidRPr="00000000" w14:paraId="0000011A">
      <w:pPr>
        <w:spacing w:after="0" w:lineRule="auto"/>
        <w:rPr/>
      </w:pPr>
      <w:r w:rsidDel="00000000" w:rsidR="00000000" w:rsidRPr="00000000">
        <w:rPr>
          <w:rtl w:val="0"/>
        </w:rPr>
        <w:t xml:space="preserve">ZHU, Na; et. al. A Novel Coronavirus from Patients with Pneumonia in China, 2019. Brief Report. The New England Journal of Medicine. 24 de Janeiro, 2020.</w:t>
      </w:r>
    </w:p>
    <w:p w:rsidR="00000000" w:rsidDel="00000000" w:rsidP="00000000" w:rsidRDefault="00000000" w:rsidRPr="00000000" w14:paraId="0000011B">
      <w:pPr>
        <w:spacing w:after="0" w:lineRule="auto"/>
        <w:rPr/>
      </w:pPr>
      <w:r w:rsidDel="00000000" w:rsidR="00000000" w:rsidRPr="00000000">
        <w:rPr>
          <w:rtl w:val="0"/>
        </w:rPr>
        <w:t xml:space="preserve">Breastfeeding medicine. Vol.15, Number 3, 2020.</w:t>
      </w:r>
    </w:p>
    <w:sectPr>
      <w:headerReference r:id="rId9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22605" cy="581660"/>
          <wp:effectExtent b="0" l="0" r="0" t="0"/>
          <wp:docPr descr="Brasão_de_armas_do_Estado_de_Alagoas.png" id="3" name="image3.png"/>
          <a:graphic>
            <a:graphicData uri="http://schemas.openxmlformats.org/drawingml/2006/picture">
              <pic:pic>
                <pic:nvPicPr>
                  <pic:cNvPr descr="Brasão_de_armas_do_Estado_de_Alagoas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605" cy="581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ESTADO DE ALAGOAS</w:t>
    </w:r>
  </w:p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UNIVERSIDADE ESTADUAL DE CIÊNCIAS DA SAÚDE DE ALAGOAS</w:t>
    </w:r>
  </w:p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Maternidade Escola Santa Mônica</w:t>
    </w:r>
  </w:p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de Controle de Infecção Relacionada à Assistência à Saúde – SCIRAS</w:t>
    </w:r>
  </w:p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Comendador Leão, s/n, Poço, Maceió, Alagoas - CEP 570205-000</w:t>
    </w:r>
  </w:p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(82) 3315-4426 – CNPJ 12.517.793/0006-04 </w:t>
    </w:r>
  </w:p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ccihmesm@hotmail.com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6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8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exame.abril.com.br/noticias-sobre/coronavirus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